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pPr>
      <w:r w:rsidDel="00000000" w:rsidR="00000000" w:rsidRPr="00000000">
        <w:rPr>
          <w:rtl w:val="0"/>
        </w:rPr>
        <w:t xml:space="preserve">You can find this and other more detailed tutorials at </w:t>
      </w:r>
      <w:hyperlink r:id="rId5">
        <w:r w:rsidDel="00000000" w:rsidR="00000000" w:rsidRPr="00000000">
          <w:rPr>
            <w:color w:val="1155cc"/>
            <w:u w:val="single"/>
            <w:rtl w:val="0"/>
          </w:rPr>
          <w:t xml:space="preserve">http://the-odin.com/tutorials/</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kit contains everything you need to genotype samples for the bitter taste receptor.</w:t>
      </w:r>
    </w:p>
    <w:p w:rsidR="00000000" w:rsidDel="00000000" w:rsidP="00000000" w:rsidRDefault="00000000" w:rsidRPr="00000000">
      <w:pPr>
        <w:keepNext w:val="0"/>
        <w:keepLines w:val="0"/>
        <w:widowControl w:val="0"/>
        <w:contextualSpacing w:val="0"/>
      </w:pPr>
      <w:r w:rsidDel="00000000" w:rsidR="00000000" w:rsidRPr="00000000">
        <w:rPr>
          <w:rtl w:val="0"/>
        </w:rPr>
        <w:t xml:space="preserve">Background Reading</w:t>
      </w:r>
    </w:p>
    <w:p w:rsidR="00000000" w:rsidDel="00000000" w:rsidP="00000000" w:rsidRDefault="00000000" w:rsidRPr="00000000">
      <w:pPr>
        <w:keepNext w:val="0"/>
        <w:keepLines w:val="0"/>
        <w:widowControl w:val="0"/>
        <w:contextualSpacing w:val="0"/>
      </w:pPr>
      <w:hyperlink r:id="rId6">
        <w:r w:rsidDel="00000000" w:rsidR="00000000" w:rsidRPr="00000000">
          <w:rPr>
            <w:color w:val="1155cc"/>
            <w:u w:val="single"/>
            <w:rtl w:val="0"/>
          </w:rPr>
          <w:t xml:space="preserve">http://www.ncbi.nlm.nih.gov/pmc/articles/PMC1181941/</w:t>
        </w:r>
      </w:hyperlink>
      <w:r w:rsidDel="00000000" w:rsidR="00000000" w:rsidRPr="00000000">
        <w:rPr>
          <w:rtl w:val="0"/>
        </w:rPr>
      </w:r>
    </w:p>
    <w:p w:rsidR="00000000" w:rsidDel="00000000" w:rsidP="00000000" w:rsidRDefault="00000000" w:rsidRPr="00000000">
      <w:pPr>
        <w:keepNext w:val="0"/>
        <w:keepLines w:val="0"/>
        <w:widowControl w:val="0"/>
        <w:contextualSpacing w:val="0"/>
      </w:pPr>
      <w:hyperlink r:id="rId7">
        <w:r w:rsidDel="00000000" w:rsidR="00000000" w:rsidRPr="00000000">
          <w:rPr>
            <w:color w:val="1155cc"/>
            <w:u w:val="single"/>
            <w:rtl w:val="0"/>
          </w:rPr>
          <w:t xml:space="preserve">http://www.ncbi.nlm.nih.gov/gene?cmd=retrieve&amp;dopt=default&amp;rn=1&amp;list_uids=5726</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Protocol</w:t>
      </w: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Rinse your mouth with water and then swab inside of cheek.</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Take cheek swab and place in 300uL 50mM NaOH in 1.5mL microcentrifuge tube</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Stir swab in tube for 1 minute until solution is cloudy</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Heat tube in almost boiling water for 10 minutes (95C) </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Add 300uL of 50mM Tris</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For a 50uL PCR reaction</w:t>
      </w:r>
    </w:p>
    <w:p w:rsidR="00000000" w:rsidDel="00000000" w:rsidP="00000000" w:rsidRDefault="00000000" w:rsidRPr="00000000">
      <w:pPr>
        <w:keepNext w:val="0"/>
        <w:keepLines w:val="0"/>
        <w:widowControl w:val="0"/>
        <w:numPr>
          <w:ilvl w:val="1"/>
          <w:numId w:val="1"/>
        </w:numPr>
        <w:ind w:left="1440" w:hanging="360"/>
        <w:contextualSpacing w:val="1"/>
        <w:rPr>
          <w:u w:val="none"/>
        </w:rPr>
      </w:pPr>
      <w:r w:rsidDel="00000000" w:rsidR="00000000" w:rsidRPr="00000000">
        <w:rPr>
          <w:rtl w:val="0"/>
        </w:rPr>
        <w:t xml:space="preserve">1uL of cheek cell solution for PCR reaction template</w:t>
      </w:r>
    </w:p>
    <w:p w:rsidR="00000000" w:rsidDel="00000000" w:rsidP="00000000" w:rsidRDefault="00000000" w:rsidRPr="00000000">
      <w:pPr>
        <w:keepNext w:val="0"/>
        <w:keepLines w:val="0"/>
        <w:widowControl w:val="0"/>
        <w:numPr>
          <w:ilvl w:val="1"/>
          <w:numId w:val="1"/>
        </w:numPr>
        <w:ind w:left="1440" w:hanging="360"/>
        <w:contextualSpacing w:val="1"/>
        <w:rPr>
          <w:u w:val="none"/>
        </w:rPr>
      </w:pPr>
      <w:r w:rsidDel="00000000" w:rsidR="00000000" w:rsidRPr="00000000">
        <w:rPr>
          <w:rtl w:val="0"/>
        </w:rPr>
        <w:t xml:space="preserve">1uL of PTC primer</w:t>
      </w:r>
    </w:p>
    <w:p w:rsidR="00000000" w:rsidDel="00000000" w:rsidP="00000000" w:rsidRDefault="00000000" w:rsidRPr="00000000">
      <w:pPr>
        <w:keepNext w:val="0"/>
        <w:keepLines w:val="0"/>
        <w:widowControl w:val="0"/>
        <w:numPr>
          <w:ilvl w:val="1"/>
          <w:numId w:val="1"/>
        </w:numPr>
        <w:ind w:left="1440" w:hanging="360"/>
        <w:contextualSpacing w:val="1"/>
        <w:rPr>
          <w:u w:val="none"/>
        </w:rPr>
      </w:pPr>
      <w:r w:rsidDel="00000000" w:rsidR="00000000" w:rsidRPr="00000000">
        <w:rPr>
          <w:rtl w:val="0"/>
        </w:rPr>
        <w:t xml:space="preserve">10uL of 5x Master Mix(or 25uL of 2x Master Mix)</w:t>
      </w:r>
    </w:p>
    <w:p w:rsidR="00000000" w:rsidDel="00000000" w:rsidP="00000000" w:rsidRDefault="00000000" w:rsidRPr="00000000">
      <w:pPr>
        <w:keepNext w:val="0"/>
        <w:keepLines w:val="0"/>
        <w:widowControl w:val="0"/>
        <w:numPr>
          <w:ilvl w:val="1"/>
          <w:numId w:val="1"/>
        </w:numPr>
        <w:ind w:left="1440" w:hanging="360"/>
        <w:contextualSpacing w:val="1"/>
        <w:rPr>
          <w:u w:val="none"/>
        </w:rPr>
      </w:pPr>
      <w:r w:rsidDel="00000000" w:rsidR="00000000" w:rsidRPr="00000000">
        <w:rPr>
          <w:rtl w:val="0"/>
        </w:rPr>
        <w:t xml:space="preserve">38uL water with 5x Master Mix(or 23uL with 2x Master Mix)</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See PCR temperatures and times below</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Included in the kit is a taste test strip that contains </w:t>
      </w:r>
      <w:hyperlink r:id="rId8">
        <w:r w:rsidDel="00000000" w:rsidR="00000000" w:rsidRPr="00000000">
          <w:rPr>
            <w:color w:val="1155cc"/>
            <w:u w:val="single"/>
            <w:rtl w:val="0"/>
          </w:rPr>
          <w:t xml:space="preserve">phenylthiocarbamide</w:t>
        </w:r>
      </w:hyperlink>
      <w:r w:rsidDel="00000000" w:rsidR="00000000" w:rsidRPr="00000000">
        <w:rPr>
          <w:rtl w:val="0"/>
        </w:rPr>
        <w:t xml:space="preserve">(PTC) use it to determine if you can taste bitter. Taste the control test strip first and then the PTC test strip and see if you can tell the difference.</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After you run your PCR reaction remove 20uL from each reaction and place them in separate tubes. Add 1uL Fnu4H1 or HaeIII restriction enzyme to each reaction in each of these extra tubes and let sit for 30-45 minutes.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can find how to cast and run a gel here: </w:t>
      </w:r>
      <w:hyperlink r:id="rId9">
        <w:r w:rsidDel="00000000" w:rsidR="00000000" w:rsidRPr="00000000">
          <w:rPr>
            <w:color w:val="1155cc"/>
            <w:u w:val="single"/>
            <w:rtl w:val="0"/>
          </w:rPr>
          <w:t xml:space="preserve">http://the-odin.com/tutorials/</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First, make TAE if you don’t have it by adding 5g of TAE mix to 1L of distilled water or 50 to 1L to make a 10x stock and then dilute that down to 1x(i.e. 100mL 10x and 900mL water)</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Next, add 0.5g of agarose to 50mL of TAE and microwave it on high for 1 minute or until all agarose is dissolved(the solution should be clear)</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Add 5uL of Gel Green to the still hot molten agarose solution and swish around to mix</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Dump the molten agarose into your gel mold and let set (this usually takes around 20-30 minutes but can be sped up by placing it in the fridge)</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Add 3.5uL of 6x loading dye to your digest and add each of your digest.loading dye solutions to the individual wells on the gel (one well for one reaction)</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Add 4uL of 100bp ladder to the first or last lane of the gel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z w:val="20"/>
          <w:szCs w:val="20"/>
          <w:highlight w:val="white"/>
          <w:rtl w:val="0"/>
        </w:rPr>
        <w:t xml:space="preserve">Polymorphic Sites in the PTC Taster Gene</w:t>
      </w:r>
    </w:p>
    <w:tbl>
      <w:tblPr>
        <w:tblStyle w:val="Table1"/>
        <w:bidi w:val="0"/>
        <w:tblW w:w="409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045"/>
        <w:gridCol w:w="860"/>
        <w:gridCol w:w="1190"/>
        <w:tblGridChange w:id="0">
          <w:tblGrid>
            <w:gridCol w:w="2045"/>
            <w:gridCol w:w="860"/>
            <w:gridCol w:w="1190"/>
          </w:tblGrid>
        </w:tblGridChange>
      </w:tblGrid>
      <w:tr>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b w:val="1"/>
                <w:sz w:val="20"/>
                <w:szCs w:val="20"/>
                <w:highlight w:val="white"/>
                <w:rtl w:val="0"/>
              </w:rPr>
              <w:t xml:space="preserve">Nucleotide position</w:t>
            </w:r>
          </w:p>
        </w:tc>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b w:val="1"/>
                <w:sz w:val="20"/>
                <w:szCs w:val="20"/>
                <w:highlight w:val="white"/>
                <w:rtl w:val="0"/>
              </w:rPr>
              <w:t xml:space="preserve">Taster</w:t>
            </w:r>
          </w:p>
        </w:tc>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b w:val="1"/>
                <w:sz w:val="20"/>
                <w:szCs w:val="20"/>
                <w:highlight w:val="white"/>
                <w:rtl w:val="0"/>
              </w:rPr>
              <w:t xml:space="preserve">Nontaster</w:t>
            </w:r>
          </w:p>
        </w:tc>
      </w:tr>
      <w:tr>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145</w:t>
            </w:r>
          </w:p>
        </w:tc>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color w:val="ff0000"/>
                <w:sz w:val="20"/>
                <w:szCs w:val="20"/>
                <w:highlight w:val="white"/>
                <w:rtl w:val="0"/>
              </w:rPr>
              <w:t xml:space="preserve">C</w:t>
            </w:r>
            <w:r w:rsidDel="00000000" w:rsidR="00000000" w:rsidRPr="00000000">
              <w:rPr>
                <w:sz w:val="20"/>
                <w:szCs w:val="20"/>
                <w:highlight w:val="white"/>
                <w:rtl w:val="0"/>
              </w:rPr>
              <w:t xml:space="preserve">CA</w:t>
            </w:r>
          </w:p>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Pro</w:t>
            </w:r>
          </w:p>
        </w:tc>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color w:val="ff0000"/>
                <w:sz w:val="20"/>
                <w:szCs w:val="20"/>
                <w:highlight w:val="white"/>
                <w:rtl w:val="0"/>
              </w:rPr>
              <w:t xml:space="preserve">G</w:t>
            </w:r>
            <w:r w:rsidDel="00000000" w:rsidR="00000000" w:rsidRPr="00000000">
              <w:rPr>
                <w:sz w:val="20"/>
                <w:szCs w:val="20"/>
                <w:highlight w:val="white"/>
                <w:rtl w:val="0"/>
              </w:rPr>
              <w:t xml:space="preserve">CA</w:t>
            </w:r>
          </w:p>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Ala</w:t>
            </w:r>
          </w:p>
        </w:tc>
      </w:tr>
      <w:tr>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785</w:t>
            </w:r>
          </w:p>
        </w:tc>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G</w:t>
            </w:r>
            <w:r w:rsidDel="00000000" w:rsidR="00000000" w:rsidRPr="00000000">
              <w:rPr>
                <w:color w:val="ff0000"/>
                <w:sz w:val="20"/>
                <w:szCs w:val="20"/>
                <w:highlight w:val="white"/>
                <w:rtl w:val="0"/>
              </w:rPr>
              <w:t xml:space="preserve">C</w:t>
            </w:r>
            <w:r w:rsidDel="00000000" w:rsidR="00000000" w:rsidRPr="00000000">
              <w:rPr>
                <w:sz w:val="20"/>
                <w:szCs w:val="20"/>
                <w:highlight w:val="white"/>
                <w:rtl w:val="0"/>
              </w:rPr>
              <w:t xml:space="preserve">T</w:t>
            </w:r>
          </w:p>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Ala</w:t>
            </w:r>
          </w:p>
        </w:tc>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G</w:t>
            </w:r>
            <w:r w:rsidDel="00000000" w:rsidR="00000000" w:rsidRPr="00000000">
              <w:rPr>
                <w:color w:val="ff0000"/>
                <w:sz w:val="20"/>
                <w:szCs w:val="20"/>
                <w:highlight w:val="white"/>
                <w:rtl w:val="0"/>
              </w:rPr>
              <w:t xml:space="preserve">T</w:t>
            </w:r>
            <w:r w:rsidDel="00000000" w:rsidR="00000000" w:rsidRPr="00000000">
              <w:rPr>
                <w:sz w:val="20"/>
                <w:szCs w:val="20"/>
                <w:highlight w:val="white"/>
                <w:rtl w:val="0"/>
              </w:rPr>
              <w:t xml:space="preserve">T</w:t>
            </w:r>
          </w:p>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Val</w:t>
            </w:r>
          </w:p>
        </w:tc>
      </w:tr>
      <w:tr>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886</w:t>
            </w:r>
          </w:p>
        </w:tc>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color w:val="ff0000"/>
                <w:sz w:val="20"/>
                <w:szCs w:val="20"/>
                <w:highlight w:val="white"/>
                <w:rtl w:val="0"/>
              </w:rPr>
              <w:t xml:space="preserve">G</w:t>
            </w:r>
            <w:r w:rsidDel="00000000" w:rsidR="00000000" w:rsidRPr="00000000">
              <w:rPr>
                <w:sz w:val="20"/>
                <w:szCs w:val="20"/>
                <w:highlight w:val="white"/>
                <w:rtl w:val="0"/>
              </w:rPr>
              <w:t xml:space="preserve">TC</w:t>
            </w:r>
          </w:p>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Val</w:t>
            </w:r>
          </w:p>
        </w:tc>
        <w:tc>
          <w:tcPr>
            <w:tcMar>
              <w:top w:w="100.0" w:type="dxa"/>
              <w:left w:w="100.0" w:type="dxa"/>
              <w:bottom w:w="100.0" w:type="dxa"/>
              <w:right w:w="100.0" w:type="dxa"/>
            </w:tcMar>
          </w:tcPr>
          <w:p w:rsidR="00000000" w:rsidDel="00000000" w:rsidP="00000000" w:rsidRDefault="00000000" w:rsidRPr="00000000">
            <w:pPr>
              <w:spacing w:line="342.84375" w:lineRule="auto"/>
              <w:contextualSpacing w:val="0"/>
            </w:pPr>
            <w:r w:rsidDel="00000000" w:rsidR="00000000" w:rsidRPr="00000000">
              <w:rPr>
                <w:color w:val="ff0000"/>
                <w:sz w:val="20"/>
                <w:szCs w:val="20"/>
                <w:highlight w:val="white"/>
                <w:rtl w:val="0"/>
              </w:rPr>
              <w:t xml:space="preserve">A</w:t>
            </w:r>
            <w:r w:rsidDel="00000000" w:rsidR="00000000" w:rsidRPr="00000000">
              <w:rPr>
                <w:sz w:val="20"/>
                <w:szCs w:val="20"/>
                <w:highlight w:val="white"/>
                <w:rtl w:val="0"/>
              </w:rPr>
              <w:t xml:space="preserve">TC</w:t>
            </w:r>
          </w:p>
          <w:p w:rsidR="00000000" w:rsidDel="00000000" w:rsidP="00000000" w:rsidRDefault="00000000" w:rsidRPr="00000000">
            <w:pPr>
              <w:spacing w:line="342.84375" w:lineRule="auto"/>
              <w:contextualSpacing w:val="0"/>
            </w:pPr>
            <w:r w:rsidDel="00000000" w:rsidR="00000000" w:rsidRPr="00000000">
              <w:rPr>
                <w:sz w:val="20"/>
                <w:szCs w:val="20"/>
                <w:highlight w:val="white"/>
                <w:rtl w:val="0"/>
              </w:rPr>
              <w:t xml:space="preserve">Ile</w:t>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highlight w:val="white"/>
          <w:rtl w:val="0"/>
        </w:rPr>
        <w:t xml:space="preserve">The mutation at position 785 is useful for determining your PTC genotype. If you are a bitter taster the sequence in this region forms a Fnu4H1 restriction site while replacing C785 with T785 in the nontaster allele eliminates this restriction site. (A restriction site is a specific DNA sequence that is recognized and cleaved by a specific restriction enzyme or endonuclease).  Restriction digestion of the PCR products with Fnu4H1 will yield one fragment for the nontaster allele and two fragments for the taster allele. </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u w:val="single"/>
          <w:rtl w:val="0"/>
        </w:rPr>
        <w:t xml:space="preserve">PCR Reaction</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1 x</w:t>
      </w:r>
      <w:r w:rsidDel="00000000" w:rsidR="00000000" w:rsidRPr="00000000">
        <w:rPr>
          <w:rtl w:val="0"/>
        </w:rPr>
        <w:t xml:space="preserve"> 95C 10 Minutes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35 x</w:t>
      </w:r>
    </w:p>
    <w:p w:rsidR="00000000" w:rsidDel="00000000" w:rsidP="00000000" w:rsidRDefault="00000000" w:rsidRPr="00000000">
      <w:pPr>
        <w:keepNext w:val="0"/>
        <w:keepLines w:val="0"/>
        <w:widowControl w:val="0"/>
        <w:contextualSpacing w:val="0"/>
      </w:pPr>
      <w:r w:rsidDel="00000000" w:rsidR="00000000" w:rsidRPr="00000000">
        <w:rPr>
          <w:rtl w:val="0"/>
        </w:rPr>
        <w:t xml:space="preserve">95C 30s</w:t>
      </w:r>
    </w:p>
    <w:p w:rsidR="00000000" w:rsidDel="00000000" w:rsidP="00000000" w:rsidRDefault="00000000" w:rsidRPr="00000000">
      <w:pPr>
        <w:keepNext w:val="0"/>
        <w:keepLines w:val="0"/>
        <w:widowControl w:val="0"/>
        <w:contextualSpacing w:val="0"/>
      </w:pPr>
      <w:r w:rsidDel="00000000" w:rsidR="00000000" w:rsidRPr="00000000">
        <w:rPr>
          <w:rtl w:val="0"/>
        </w:rPr>
        <w:t xml:space="preserve">55C 1 minute</w:t>
      </w:r>
    </w:p>
    <w:p w:rsidR="00000000" w:rsidDel="00000000" w:rsidP="00000000" w:rsidRDefault="00000000" w:rsidRPr="00000000">
      <w:pPr>
        <w:keepNext w:val="0"/>
        <w:keepLines w:val="0"/>
        <w:widowControl w:val="0"/>
        <w:contextualSpacing w:val="0"/>
      </w:pPr>
      <w:r w:rsidDel="00000000" w:rsidR="00000000" w:rsidRPr="00000000">
        <w:rPr>
          <w:rtl w:val="0"/>
        </w:rPr>
        <w:t xml:space="preserve">72C 1 minute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1x </w:t>
      </w:r>
      <w:r w:rsidDel="00000000" w:rsidR="00000000" w:rsidRPr="00000000">
        <w:rPr>
          <w:rtl w:val="0"/>
        </w:rPr>
        <w:t xml:space="preserve">72C 10 minutes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Primers: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Fwd PTC gene</w:t>
      </w:r>
    </w:p>
    <w:p w:rsidR="00000000" w:rsidDel="00000000" w:rsidP="00000000" w:rsidRDefault="00000000" w:rsidRPr="00000000">
      <w:pPr>
        <w:keepNext w:val="0"/>
        <w:keepLines w:val="0"/>
        <w:widowControl w:val="0"/>
        <w:contextualSpacing w:val="0"/>
      </w:pPr>
      <w:r w:rsidDel="00000000" w:rsidR="00000000" w:rsidRPr="00000000">
        <w:rPr>
          <w:color w:val="626262"/>
          <w:highlight w:val="white"/>
          <w:rtl w:val="0"/>
        </w:rPr>
        <w:t xml:space="preserve">ctcagcctgctttactgc</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Rev PTC gene</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color w:val="626262"/>
          <w:highlight w:val="white"/>
          <w:rtl w:val="0"/>
        </w:rPr>
        <w:t xml:space="preserve">cattatcccaacacaaac</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u w:val="single"/>
          <w:rtl w:val="0"/>
        </w:rPr>
        <w:t xml:space="preserve">PTC Gene </w:t>
      </w:r>
      <w:r w:rsidDel="00000000" w:rsidR="00000000" w:rsidRPr="00000000">
        <w:rPr>
          <w:rtl w:val="0"/>
        </w:rPr>
        <w:t xml:space="preserve">http://www.ncbi.nlm.nih.gov/nuccore/30230490?report=fasta</w:t>
      </w:r>
    </w:p>
    <w:p w:rsidR="00000000" w:rsidDel="00000000" w:rsidP="00000000" w:rsidRDefault="00000000" w:rsidRPr="00000000">
      <w:pPr>
        <w:keepNext w:val="0"/>
        <w:keepLines w:val="0"/>
        <w:widowControl w:val="0"/>
        <w:contextualSpacing w:val="0"/>
      </w:pPr>
      <w:r w:rsidDel="00000000" w:rsidR="00000000" w:rsidRPr="00000000">
        <w:rPr>
          <w:rtl w:val="0"/>
        </w:rPr>
        <w:t xml:space="preserve">ATGTTGACTCTAACTCGCATCCGCACTGTGTCCTATGAAGTCAGGAGTACATTTCTGTTCATTTCAGTCCTGGAGTTTGCAGTGGGGTTTCTGACCAATGCCTTCGTTTTCTTGGTGAATTTTTGGGATGTAGTGAAGAGGCAGGCACTGAGCAACAGTGATTGTGTGCTGCTGTGTCTCAGCATCAGCCGGCTTTTCCTGCATGGACTGCTGTTCCTGAGTGCTATCCAGCTTACCCACTTCCAGAAGTTGAGTGAACCACTGAACCACAGCTACCAAGCCATCATCATGCTATGGATGATTGCAAACCAAGCCAACCTCTGGCTTGCTGCCTGC</w:t>
      </w:r>
      <w:r w:rsidDel="00000000" w:rsidR="00000000" w:rsidRPr="00000000">
        <w:rPr>
          <w:b w:val="1"/>
          <w:u w:val="single"/>
          <w:rtl w:val="0"/>
        </w:rPr>
        <w:t xml:space="preserve">CTCAGCCTGCTTTACTGC</w:t>
      </w:r>
      <w:r w:rsidDel="00000000" w:rsidR="00000000" w:rsidRPr="00000000">
        <w:rPr>
          <w:rtl w:val="0"/>
        </w:rPr>
        <w:t xml:space="preserve">TCCAAGCTCATCCGTTTCTCTCACACCTTCCTGATCTGCTTGGCAAGCTGGGTCTCCAGGAAGATCTCCCAGATGCTCCTGGGTATTATTCTTTGCTCCTGCATCTGCACTGTCCTCTGTGTTTGGTGCTTTTTTAGCAGACCTCACTTCACAGTCACAACTGTGCTATTCATGAATAACAATACAAGGCTCAACTGGCAGATTAAAGATCTCAATTTATTTTATTCCTTTCTCTTCTGCTATCTGTGGTCTGTGCCTCCTTTCCTATTGTTTCTGGTTTCTTCTGGGATGCTGACTGTCTCCCTGGGAAGGCACATGAGGACAATGAAGGTCTATACCAGAAACTCTCGTGACCCCAGCCTGGAGGCCCACATTAAAGCCCTCAAGTCTCTTGTCTCCTTTTTCTGCTTCTTTGTGATATCATCCTGTG</w:t>
      </w:r>
      <w:r w:rsidDel="00000000" w:rsidR="00000000" w:rsidRPr="00000000">
        <w:rPr>
          <w:color w:val="ff0000"/>
          <w:rtl w:val="0"/>
        </w:rPr>
        <w:t xml:space="preserve">T</w:t>
      </w:r>
      <w:r w:rsidDel="00000000" w:rsidR="00000000" w:rsidRPr="00000000">
        <w:rPr>
          <w:rtl w:val="0"/>
        </w:rPr>
        <w:t xml:space="preserve">TGCCTTCATCTCTGTGCCCCTACTGATTCTGTGGCGCGACAAAATAGGGGTGATG</w:t>
      </w:r>
      <w:r w:rsidDel="00000000" w:rsidR="00000000" w:rsidRPr="00000000">
        <w:rPr>
          <w:u w:val="single"/>
          <w:rtl w:val="0"/>
        </w:rPr>
        <w:t xml:space="preserve">GTTTGTGTTGGGATAATG</w:t>
      </w:r>
      <w:r w:rsidDel="00000000" w:rsidR="00000000" w:rsidRPr="00000000">
        <w:rPr>
          <w:rtl w:val="0"/>
        </w:rPr>
        <w:t xml:space="preserve">GCAGCTTGTCCCTCTGGGCATGCAGCCATCCTGATCTCAGGCAATGCCAAGT</w:t>
      </w:r>
    </w:p>
    <w:p w:rsidR="00000000" w:rsidDel="00000000" w:rsidP="00000000" w:rsidRDefault="00000000" w:rsidRPr="00000000">
      <w:pPr>
        <w:keepNext w:val="0"/>
        <w:keepLines w:val="0"/>
        <w:widowControl w:val="0"/>
        <w:contextualSpacing w:val="0"/>
      </w:pPr>
      <w:r w:rsidDel="00000000" w:rsidR="00000000" w:rsidRPr="00000000">
        <w:rPr>
          <w:rtl w:val="0"/>
        </w:rPr>
        <w:t xml:space="preserve">TGAGGAGAGCTGTGATGACCATTCTGCTCTGGGCTCAGAGCAGCCTGAAGGTAAGAGCCGACCACAAGGCAGATTCCCGGACACTGTGCTGA</w:t>
      </w:r>
    </w:p>
    <w:p w:rsidR="00000000" w:rsidDel="00000000" w:rsidP="00000000" w:rsidRDefault="00000000" w:rsidRPr="00000000">
      <w:pPr>
        <w:keepNext w:val="0"/>
        <w:keepLines w:val="0"/>
        <w:widowControl w:val="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0"/>
      <w:keepLines w:val="0"/>
      <w:widowControl w:val="0"/>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0"/>
      <w:keepLines w:val="0"/>
      <w:widowControl w:val="0"/>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0"/>
      <w:keepLines w:val="0"/>
      <w:widowControl w:val="0"/>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0"/>
      <w:keepLines w:val="0"/>
      <w:widowControl w:val="0"/>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0"/>
      <w:keepLines w:val="0"/>
      <w:widowControl w:val="0"/>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0"/>
      <w:keepLines w:val="0"/>
      <w:widowControl w:val="0"/>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0"/>
      <w:keepLines w:val="0"/>
      <w:widowControl w:val="0"/>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the-odin.com/tutorials/" TargetMode="External"/><Relationship Id="rId5" Type="http://schemas.openxmlformats.org/officeDocument/2006/relationships/hyperlink" Target="http://the-odin.com/tutorials/" TargetMode="External"/><Relationship Id="rId6" Type="http://schemas.openxmlformats.org/officeDocument/2006/relationships/hyperlink" Target="http://www.ncbi.nlm.nih.gov/pmc/articles/PMC1181941/" TargetMode="External"/><Relationship Id="rId7" Type="http://schemas.openxmlformats.org/officeDocument/2006/relationships/hyperlink" Target="http://www.ncbi.nlm.nih.gov/gene?cmd=retrieve&amp;dopt=default&amp;rn=1&amp;list_uids=5726" TargetMode="External"/><Relationship Id="rId8" Type="http://schemas.openxmlformats.org/officeDocument/2006/relationships/hyperlink" Target="http://en.wikipedia.org/wiki/Phenylthiocarbamide" TargetMode="External"/></Relationships>
</file>